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07" w:rsidRPr="00F210CE" w:rsidRDefault="004E2807" w:rsidP="004E2807">
      <w:pPr>
        <w:pStyle w:val="ConsPlusNormal"/>
        <w:jc w:val="right"/>
        <w:rPr>
          <w:sz w:val="28"/>
          <w:szCs w:val="28"/>
        </w:rPr>
      </w:pPr>
    </w:p>
    <w:p w:rsidR="00F210CE" w:rsidRDefault="00F210CE" w:rsidP="00F210CE">
      <w:pPr>
        <w:pStyle w:val="51"/>
        <w:shd w:val="clear" w:color="auto" w:fill="auto"/>
        <w:spacing w:line="322" w:lineRule="exact"/>
        <w:jc w:val="center"/>
        <w:rPr>
          <w:rStyle w:val="13"/>
          <w:rFonts w:ascii="Times New Roman" w:hAnsi="Times New Roman" w:cs="Times New Roman"/>
          <w:b/>
          <w:sz w:val="28"/>
          <w:szCs w:val="28"/>
        </w:rPr>
      </w:pPr>
      <w:r w:rsidRPr="00F210CE">
        <w:rPr>
          <w:rStyle w:val="13"/>
          <w:rFonts w:ascii="Times New Roman" w:hAnsi="Times New Roman" w:cs="Times New Roman"/>
          <w:b/>
          <w:sz w:val="28"/>
          <w:szCs w:val="28"/>
        </w:rPr>
        <w:t>АДМИНИСТРАЦИЯ СЕЛЬСКОГО ПОСЕЛЕНИЯ РАПАТОВСКИЙ СЕЛЬСОВЕТ МУНИЦИПАЛЬНОГО РАЙОНА ЧЕКМАГУШЕВСКИЙ РАЙОН РЕСПУБЛИКИ БАШКОРТОСТАН</w:t>
      </w:r>
    </w:p>
    <w:p w:rsidR="00F210CE" w:rsidRDefault="00F210CE" w:rsidP="00F210CE">
      <w:pPr>
        <w:pStyle w:val="51"/>
        <w:shd w:val="clear" w:color="auto" w:fill="auto"/>
        <w:spacing w:line="322" w:lineRule="exact"/>
        <w:jc w:val="center"/>
        <w:rPr>
          <w:rStyle w:val="13"/>
          <w:rFonts w:ascii="Times New Roman" w:hAnsi="Times New Roman" w:cs="Times New Roman"/>
          <w:b/>
          <w:sz w:val="28"/>
          <w:szCs w:val="28"/>
        </w:rPr>
      </w:pPr>
    </w:p>
    <w:p w:rsidR="00F210CE" w:rsidRPr="00F210CE" w:rsidRDefault="00F210CE" w:rsidP="00F210CE">
      <w:pPr>
        <w:pStyle w:val="51"/>
        <w:shd w:val="clear" w:color="auto" w:fill="auto"/>
        <w:spacing w:line="322" w:lineRule="exact"/>
        <w:jc w:val="center"/>
        <w:rPr>
          <w:rStyle w:val="13"/>
          <w:rFonts w:ascii="Times New Roman" w:hAnsi="Times New Roman" w:cs="Times New Roman"/>
          <w:b/>
          <w:sz w:val="28"/>
          <w:szCs w:val="28"/>
        </w:rPr>
      </w:pPr>
    </w:p>
    <w:p w:rsidR="00F210CE" w:rsidRPr="00F210CE" w:rsidRDefault="00F210CE" w:rsidP="00F210CE">
      <w:pPr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b/>
          <w:sz w:val="28"/>
          <w:szCs w:val="28"/>
        </w:rPr>
        <w:t xml:space="preserve">    КАРАР                                                                               ПОСТАНОВЛЕНИЕ</w:t>
      </w:r>
    </w:p>
    <w:p w:rsidR="00F210CE" w:rsidRDefault="00F210CE" w:rsidP="00F210CE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 xml:space="preserve"> 06 июль 2021 й.                                        № 15                      06 июля 2021 г.</w:t>
      </w:r>
    </w:p>
    <w:p w:rsidR="00F210CE" w:rsidRDefault="00F210CE" w:rsidP="00F210CE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210CE" w:rsidRPr="00F210CE" w:rsidRDefault="00F210CE" w:rsidP="00F210CE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F210CE" w:rsidRPr="00F210CE" w:rsidRDefault="00F210CE" w:rsidP="00F210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F210CE">
        <w:rPr>
          <w:rFonts w:ascii="Times New Roman" w:hAnsi="Times New Roman" w:cs="Times New Roman"/>
          <w:b/>
          <w:sz w:val="28"/>
          <w:szCs w:val="28"/>
        </w:rPr>
        <w:t>Порядка составления и ведения кассового плана исполнения бюджета сельского поселения Рапатовский сельсовет</w:t>
      </w:r>
    </w:p>
    <w:p w:rsidR="00F210CE" w:rsidRPr="00F210CE" w:rsidRDefault="00F210CE" w:rsidP="00F210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b/>
          <w:sz w:val="28"/>
          <w:szCs w:val="28"/>
        </w:rPr>
        <w:t>муниципального района Чекмагушевский район</w:t>
      </w:r>
    </w:p>
    <w:p w:rsidR="00F210CE" w:rsidRDefault="00F210CE" w:rsidP="00F210C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10CE" w:rsidRPr="00F210CE" w:rsidRDefault="00F210CE" w:rsidP="00F210CE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0CE" w:rsidRPr="00F210CE" w:rsidRDefault="00F210CE" w:rsidP="00F21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>В соответствии со статьей 217.1 Бюджетного кодекса Российской Федерации Администрация сельского поселения Рапатовский сельсовет муниципального района Чекмагушевский район Республики Башкортостан постановляет:</w:t>
      </w:r>
    </w:p>
    <w:p w:rsidR="00F210CE" w:rsidRPr="00F210CE" w:rsidRDefault="00F210CE" w:rsidP="00F210C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>1.Утвердить прилагаемый Порядок составления и ведения кассового плана исполнения бюджета сельского поселения Рапатовский сельсовет</w:t>
      </w:r>
      <w:r w:rsidRPr="00F210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0CE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Башкортостан.</w:t>
      </w:r>
    </w:p>
    <w:p w:rsidR="00F210CE" w:rsidRPr="00F210CE" w:rsidRDefault="00F210CE" w:rsidP="00F210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5 июля 2021 года.</w:t>
      </w:r>
    </w:p>
    <w:p w:rsidR="00F210CE" w:rsidRPr="00F210CE" w:rsidRDefault="00F210CE" w:rsidP="00F210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сельского поселения Рапатовский сельсовет муниципального района Чекмагушевский район Республики Башкортостан № 79 от 10 июля 2014 года «</w:t>
      </w:r>
      <w:r w:rsidRPr="00F210CE">
        <w:rPr>
          <w:rFonts w:ascii="Times New Roman" w:eastAsia="Calibri" w:hAnsi="Times New Roman" w:cs="Times New Roman"/>
          <w:sz w:val="28"/>
          <w:szCs w:val="28"/>
        </w:rPr>
        <w:t>Об утверждении Порядка составления и ведения кассового плана исполнения бюджета сельского поселения Рапатовский сельсовет муниципального района Чекмагушевский район Республики Башкортостан</w:t>
      </w:r>
      <w:r w:rsidRPr="00F210CE">
        <w:rPr>
          <w:rFonts w:ascii="Times New Roman" w:hAnsi="Times New Roman" w:cs="Times New Roman"/>
          <w:sz w:val="28"/>
          <w:szCs w:val="28"/>
        </w:rPr>
        <w:t>».</w:t>
      </w:r>
    </w:p>
    <w:p w:rsidR="00F210CE" w:rsidRPr="00F210CE" w:rsidRDefault="00F210CE" w:rsidP="00F210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10CE">
        <w:rPr>
          <w:rFonts w:ascii="Times New Roman" w:hAnsi="Times New Roman" w:cs="Times New Roman"/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F210CE" w:rsidRPr="00F210CE" w:rsidRDefault="00F210CE" w:rsidP="00F210CE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210CE" w:rsidRPr="00F210CE" w:rsidRDefault="00F210CE" w:rsidP="00F210CE">
      <w:p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F210CE" w:rsidRDefault="00F210CE" w:rsidP="00F210CE">
      <w:pPr>
        <w:jc w:val="both"/>
        <w:rPr>
          <w:sz w:val="28"/>
          <w:szCs w:val="28"/>
        </w:rPr>
      </w:pPr>
      <w:r w:rsidRPr="00F210CE">
        <w:rPr>
          <w:rFonts w:ascii="Times New Roman" w:hAnsi="Times New Roman" w:cs="Times New Roman"/>
          <w:spacing w:val="2"/>
          <w:sz w:val="28"/>
          <w:szCs w:val="28"/>
        </w:rPr>
        <w:t>Глава сельского поселения</w:t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</w:t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  <w:t>Р.Р.Латыпов</w:t>
      </w:r>
      <w:r w:rsidRPr="00F210CE"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 xml:space="preserve">                                                </w:t>
      </w:r>
    </w:p>
    <w:p w:rsidR="00F210CE" w:rsidRDefault="00F210CE" w:rsidP="00F210CE">
      <w:pPr>
        <w:jc w:val="both"/>
        <w:rPr>
          <w:sz w:val="28"/>
          <w:szCs w:val="28"/>
        </w:rPr>
      </w:pPr>
    </w:p>
    <w:p w:rsidR="00F210CE" w:rsidRPr="00B54706" w:rsidRDefault="00F210CE" w:rsidP="00F210CE">
      <w:pPr>
        <w:jc w:val="both"/>
      </w:pPr>
    </w:p>
    <w:p w:rsidR="004E2807" w:rsidRDefault="004E2807" w:rsidP="004E2807">
      <w:pPr>
        <w:pStyle w:val="ConsPlusNormal"/>
        <w:jc w:val="right"/>
        <w:outlineLvl w:val="0"/>
        <w:rPr>
          <w:sz w:val="28"/>
          <w:szCs w:val="28"/>
        </w:rPr>
      </w:pPr>
    </w:p>
    <w:p w:rsidR="004E2807" w:rsidRDefault="004E2807" w:rsidP="004E2807">
      <w:pPr>
        <w:pStyle w:val="ConsPlusNormal"/>
        <w:jc w:val="right"/>
        <w:outlineLvl w:val="0"/>
        <w:rPr>
          <w:sz w:val="28"/>
          <w:szCs w:val="28"/>
        </w:rPr>
      </w:pPr>
    </w:p>
    <w:p w:rsidR="004E2807" w:rsidRDefault="004E2807" w:rsidP="004E2807">
      <w:pPr>
        <w:pStyle w:val="ConsPlusNormal"/>
        <w:jc w:val="right"/>
        <w:outlineLvl w:val="0"/>
        <w:rPr>
          <w:sz w:val="28"/>
          <w:szCs w:val="28"/>
        </w:rPr>
      </w:pPr>
    </w:p>
    <w:p w:rsidR="004E2807" w:rsidRDefault="004E2807" w:rsidP="004E2807">
      <w:pPr>
        <w:pStyle w:val="ConsPlusNormal"/>
        <w:outlineLvl w:val="0"/>
        <w:rPr>
          <w:sz w:val="28"/>
          <w:szCs w:val="28"/>
        </w:rPr>
      </w:pP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Утвержден Постановлением 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>Администрации сельского поселения</w:t>
      </w:r>
    </w:p>
    <w:p w:rsidR="004E2807" w:rsidRPr="009051C6" w:rsidRDefault="00501931" w:rsidP="004E2807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Рапатовский</w:t>
      </w:r>
      <w:r w:rsidR="004E2807" w:rsidRPr="009051C6">
        <w:rPr>
          <w:sz w:val="24"/>
          <w:szCs w:val="24"/>
        </w:rPr>
        <w:t xml:space="preserve"> сельсовет муниципального</w:t>
      </w:r>
    </w:p>
    <w:p w:rsidR="004E2807" w:rsidRPr="009051C6" w:rsidRDefault="004E2807" w:rsidP="004E2807">
      <w:pPr>
        <w:pStyle w:val="ConsPlusNormal"/>
        <w:jc w:val="right"/>
        <w:outlineLvl w:val="0"/>
        <w:rPr>
          <w:sz w:val="24"/>
          <w:szCs w:val="24"/>
        </w:rPr>
      </w:pPr>
      <w:r w:rsidRPr="009051C6">
        <w:rPr>
          <w:sz w:val="24"/>
          <w:szCs w:val="24"/>
        </w:rPr>
        <w:t xml:space="preserve"> района </w:t>
      </w:r>
      <w:r w:rsidR="00E87FB9">
        <w:rPr>
          <w:sz w:val="24"/>
          <w:szCs w:val="24"/>
        </w:rPr>
        <w:t>Чекмагушевский</w:t>
      </w:r>
      <w:r w:rsidRPr="009051C6">
        <w:rPr>
          <w:sz w:val="24"/>
          <w:szCs w:val="24"/>
        </w:rPr>
        <w:t xml:space="preserve"> район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ab/>
        <w:t xml:space="preserve">Республики Башкортостан </w:t>
      </w:r>
    </w:p>
    <w:p w:rsidR="004E2807" w:rsidRPr="009051C6" w:rsidRDefault="004E2807" w:rsidP="004E2807">
      <w:pPr>
        <w:pStyle w:val="ConsPlusNormal"/>
        <w:tabs>
          <w:tab w:val="center" w:pos="4678"/>
          <w:tab w:val="right" w:pos="9356"/>
        </w:tabs>
        <w:jc w:val="right"/>
        <w:rPr>
          <w:sz w:val="24"/>
          <w:szCs w:val="24"/>
        </w:rPr>
      </w:pPr>
      <w:r w:rsidRPr="009051C6">
        <w:rPr>
          <w:sz w:val="24"/>
          <w:szCs w:val="24"/>
        </w:rPr>
        <w:t xml:space="preserve">от  </w:t>
      </w:r>
      <w:r w:rsidR="00F210CE">
        <w:rPr>
          <w:sz w:val="24"/>
          <w:szCs w:val="24"/>
        </w:rPr>
        <w:t>06</w:t>
      </w:r>
      <w:r w:rsidRPr="009051C6">
        <w:rPr>
          <w:sz w:val="24"/>
          <w:szCs w:val="24"/>
        </w:rPr>
        <w:t xml:space="preserve"> июля 2021 г. N </w:t>
      </w:r>
      <w:r w:rsidR="003948C2">
        <w:rPr>
          <w:sz w:val="24"/>
          <w:szCs w:val="24"/>
        </w:rPr>
        <w:t>15</w:t>
      </w:r>
    </w:p>
    <w:p w:rsidR="004E2807" w:rsidRPr="005A2F7D" w:rsidRDefault="004E2807" w:rsidP="004E2807">
      <w:pPr>
        <w:pStyle w:val="ConsPlusNormal"/>
        <w:jc w:val="right"/>
      </w:pPr>
    </w:p>
    <w:p w:rsidR="004E2807" w:rsidRPr="00E87FB9" w:rsidRDefault="004E2807" w:rsidP="004E2807">
      <w:pPr>
        <w:pStyle w:val="ConsPlusNormal"/>
        <w:jc w:val="right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E87FB9">
        <w:rPr>
          <w:rFonts w:ascii="Times New Roman" w:hAnsi="Times New Roman" w:cs="Times New Roman"/>
          <w:sz w:val="24"/>
          <w:szCs w:val="24"/>
        </w:rPr>
        <w:t>ПОРЯДОК</w:t>
      </w:r>
    </w:p>
    <w:p w:rsidR="004E2807" w:rsidRPr="00E87FB9" w:rsidRDefault="004E2807" w:rsidP="004E2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исполнения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</w:t>
      </w:r>
    </w:p>
    <w:p w:rsidR="004E2807" w:rsidRPr="00E87FB9" w:rsidRDefault="004E2807" w:rsidP="004E2807">
      <w:pPr>
        <w:spacing w:after="1"/>
        <w:rPr>
          <w:sz w:val="24"/>
          <w:szCs w:val="24"/>
        </w:rPr>
      </w:pPr>
    </w:p>
    <w:p w:rsidR="004E2807" w:rsidRPr="00E87FB9" w:rsidRDefault="004E2807" w:rsidP="004E2807">
      <w:pPr>
        <w:pStyle w:val="ConsPlusNormal"/>
        <w:jc w:val="center"/>
        <w:rPr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1. Настоящий Порядок составления и ведения кассового плана исполнения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2. Кассовый план включает: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кассовый план исполнения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3. Составление и ведение кассового плана осуществляется Администрацией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 в информационной системе, используемой Администрацией в электронном виде с применением средств электронной подписи.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ходе составления и ведения кассового плана Администрация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показателях сводной бюджетной росписи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об исполнении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4. Кассовый план исполнения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(далее – кассовый план на текущий финансовый год) составляется по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Порядку, кассовый план исполнения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на текущий месяц (далее – кассовый план на текущий месяц) – согласно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 xml:space="preserve">приложению № 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2 к настоящему Порядку и утверждается Главой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главами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район Республики Башкортостан на текущий месяц, формируемого в порядке, предусмотренном </w:t>
      </w:r>
      <w:hyperlink w:anchor="P54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 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на текущий месяц, формируемого в порядке, предусмотренном </w:t>
      </w:r>
      <w:hyperlink w:anchor="P83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прогноза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формируемого в порядке, предусмотренном </w:t>
      </w:r>
      <w:hyperlink w:anchor="P108" w:history="1">
        <w:r w:rsidRPr="00E87FB9">
          <w:rPr>
            <w:rFonts w:ascii="Times New Roman" w:hAnsi="Times New Roman" w:cs="Times New Roman"/>
            <w:sz w:val="24"/>
            <w:szCs w:val="24"/>
          </w:rPr>
          <w:t>главой IV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иных необходимых показателей.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7. Показатели кассового плана на текущий месяц </w:t>
      </w:r>
      <w:hyperlink w:anchor="P1446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2)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соответствовать показателям кассового плана на текущий финансовый год </w:t>
      </w:r>
      <w:hyperlink w:anchor="P645" w:history="1">
        <w:r w:rsidRPr="00E87FB9">
          <w:rPr>
            <w:rFonts w:ascii="Times New Roman" w:hAnsi="Times New Roman" w:cs="Times New Roman"/>
            <w:sz w:val="24"/>
            <w:szCs w:val="24"/>
          </w:rPr>
          <w:t>(приложение № 1)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 текущему месяцу с учетом внесенных в него изменений в ходе ведения кассового плана.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E87FB9">
        <w:rPr>
          <w:rFonts w:ascii="Times New Roman" w:hAnsi="Times New Roman" w:cs="Times New Roman"/>
          <w:sz w:val="24"/>
          <w:szCs w:val="24"/>
        </w:rPr>
        <w:t xml:space="preserve">II. Порядок составления, уточнения и направления прогнозов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8. Показатели для кассового плана на текущий финансовый год по поступлениям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Порядку), полученных от главных администраторов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9. В целях составления кассового плана на текущий финансовый год 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главными администраторами доходов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по налоговым и неналоговым доходам, по безвозмездным поступлениям  – в Администрацию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Администрация);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10. В целях ведения кассового плана на текущий финансовый год главные администраторы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 уточненные прогнозы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поступления доходов в бюджет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Уточненные прогнозы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Башкортостан на текущий финансовый год направляются главными администраторами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</w:t>
      </w:r>
      <w:r w:rsidRPr="00E87FB9">
        <w:rPr>
          <w:rFonts w:ascii="Times New Roman" w:hAnsi="Times New Roman" w:cs="Times New Roman"/>
          <w:sz w:val="24"/>
          <w:szCs w:val="24"/>
        </w:rPr>
        <w:tab/>
        <w:t>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11. Бюджетная инспекция на основе прогнозов главных администраторов доходов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год, согласованный с Главой сельского поселения (приложение № 4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составления кассового плана на текущий финансовый год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целях ведения кассового плана на текущий финансовый год 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12. Показатели для кассового плана на текущий месяц по поступлениям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прогноза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 к настоящему Порядку), полученного от главных администраторов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13. Прогнозы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сформированные на январь текущего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доходам, по безвозмездным поступлениям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14. В период с февраля по декабрь текущего финансового года прогнозы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формируются и направляются главными администраторами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состоянию на первое число текущего месяца ежемесячно, не позднее третьего рабочего дня текущего месяца: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 налоговым и неналоговым доходам по безвозмездным поступлениям,  – в бюджетную инспекцию;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15. Бюджетная инспекция на основе </w:t>
      </w:r>
      <w:hyperlink w:anchor="P1387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формирует прогноз поступлений по налоговым и неналоговым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согласованный Главой сельского поселения (приложение № 6 к настоящему Порядку):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четырнадцатого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четвертого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16. Показатели прогнозов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5) должны соответствовать показателям прогнозов поступлений по доходам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3) по текущему месяцу.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III. Порядок составления, уточнения и направления прогнозов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перечислений по расходам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17. Показатели для кассового плана на текущий финансовый год по перечислениям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B4312E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272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18. В целях составления кассового плана на текущий финансовый год главные распорядители средств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главные распорядители)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 не позднее тринадцатого рабочего дня декабря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19.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 к настоящему Порядку) и направляют в Администрацию.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Уточнение прогнозов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осуществляется: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в связи с внесением изменений в показатели сводной бюджетной росписи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– по мере внесения изменений в показатели сводной бюджетной росписи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на основании информации об исполнении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расходам в период с февраля по декабрь текущего финансового года по состоянию на первое число текущего месяца –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При уточнении прогнозов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указываются фактические перечисления по расходам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r w:rsidRPr="00E87FB9">
        <w:rPr>
          <w:rFonts w:ascii="Times New Roman" w:hAnsi="Times New Roman" w:cs="Times New Roman"/>
          <w:sz w:val="24"/>
          <w:szCs w:val="24"/>
        </w:rPr>
        <w:tab/>
        <w:t>Башкортостан за отчетный период и вносятся соответствующие изменения в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20. Показатели для кассового плана на текущий месяц по перечислениям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прогнозов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21. В целях составления кассового плана на текущий месяц главные распорядители формируют </w:t>
      </w:r>
      <w:hyperlink w:anchor="P272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 к настоящему Порядку) и направляют в Администрацию: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тринадцатого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по состоянию на первое число текущего месяца – ежемесячно не позднее третьего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22. Показатели прогнозов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8) должны соответствовать показателям прогнозов перечислений по расходам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7)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108"/>
      <w:bookmarkEnd w:id="2"/>
    </w:p>
    <w:p w:rsidR="004E2807" w:rsidRPr="00E87FB9" w:rsidRDefault="004E2807" w:rsidP="00E87FB9">
      <w:pPr>
        <w:widowControl w:val="0"/>
        <w:autoSpaceDE w:val="0"/>
        <w:autoSpaceDN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IV. Порядок составления, уточнения и направления прогнозов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и прогнозов поступлений и перечислений по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23. Показатели для кассового плана на текущий финансовый год по поступлениям и перечислениям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сводной бюджетной росписи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E2807" w:rsidRPr="00E87FB9" w:rsidRDefault="00B4312E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80" w:history="1">
        <w:r w:rsidR="004E2807" w:rsidRPr="00E87FB9">
          <w:rPr>
            <w:rFonts w:ascii="Times New Roman" w:hAnsi="Times New Roman" w:cs="Times New Roman"/>
            <w:sz w:val="24"/>
            <w:szCs w:val="24"/>
          </w:rPr>
          <w:t>прогноза</w:t>
        </w:r>
      </w:hyperlink>
      <w:r w:rsidR="004E2807"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="004E2807"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24. Главные администраторы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классификации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(далее – закрепленные коды) формирует не позднее тринадцатого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25.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формирует не позднее четырнадцатого рабочего дня декабря текущего финансового года, согласованный Главой сельского поселения,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26. В целях ведения кассового плана на текущий финансовый год главными администраторами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бюджетной инспекцией по закрепленным кодам формируется уточненный прогноз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При уточнении указываются фактические поступления и перечисления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за отчетный период, в соответствии с информацией об исполнении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 уточняются соответствующие показатели периода, следующего за отчетным месяцем.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Уточненный прогноз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</w:t>
      </w:r>
      <w:r w:rsidRPr="00E87FB9">
        <w:rPr>
          <w:rFonts w:ascii="Times New Roman" w:hAnsi="Times New Roman" w:cs="Times New Roman"/>
          <w:sz w:val="24"/>
          <w:szCs w:val="24"/>
        </w:rPr>
        <w:tab/>
        <w:t>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в период с февраля по декабрь текущего финансового года по состоянию на первое число текущего месяца ежемесячно не позднее третьего рабочего дня текущего месяца, с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27. На основе уточненных прогнозов главных администраторов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бюджетная инспекция по закрепленным кодам формирует в период с февраля по декабрь текущего финансового</w:t>
      </w:r>
      <w:r w:rsidRPr="00E87FB9">
        <w:rPr>
          <w:rFonts w:ascii="Times New Roman" w:hAnsi="Times New Roman" w:cs="Times New Roman"/>
          <w:sz w:val="24"/>
          <w:szCs w:val="24"/>
        </w:rPr>
        <w:tab/>
        <w:t xml:space="preserve">года по состоянию на первое число текущего месяца ежемесячно, не позднее четвертого рабочего дня текущего месяца, согласованный Главой сельского поселения, уточненный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28. Показатели для кассового плана на текущий месяц по поступлениям и перечислениям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29. Главные администраторы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не позднее тринадцатого рабочего дня декабря текущего финансового года направляют в бюджетную инспекцию прогноз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формирует не позднее тринадцатого </w:t>
      </w: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30.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не позднее четырнадцатого рабочего дня декабря текущего финансового года,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Порядку), сформированный на январь текущего финансового года.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31. Прогноз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период с февраля по декабрь текущего финансового года по состоянию на первое число текущего месяца в бюджетную инспекцию ежемесячно не позднее третьего рабочего дня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Бюджетная инспекция по закрепленным кодам формируют в период с февраля по декабрь текущего финансового года ежемесячно не позднее третьего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32. Бюджетная инспекция на основе прогнозов главных администраторов источников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закрепленным кодам формирует в период с февраля по декабрь текущего финансового года ежемесячно не позднее четвертого рабочего дня текущего месяца, согласованный Главой сельского поселения, </w:t>
      </w:r>
      <w:hyperlink w:anchor="P380" w:history="1">
        <w:r w:rsidRPr="00E87FB9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 к настоящему Порядку) по состоянию на первое число текущего месяца.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33. Показатели прогнозов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бюджета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E87FB9">
        <w:rPr>
          <w:rFonts w:ascii="Times New Roman" w:hAnsi="Times New Roman" w:cs="Times New Roman"/>
          <w:sz w:val="24"/>
          <w:szCs w:val="24"/>
        </w:rPr>
        <w:t>Чекмагушевский</w:t>
      </w:r>
      <w:r w:rsidRPr="00E87FB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на текущий финансовый год (приложение № 9) по текущему месяцу.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lastRenderedPageBreak/>
        <w:t xml:space="preserve">V. Порядок составления и ведения кассового плана на текущий финансовый год и кассового плана на текущий месяц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34.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финансовый год составляется </w:t>
      </w:r>
      <w:r w:rsidR="006975CA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="00697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Показатели кассового плана на текущий финансовый год подлежат согласованию соответствующими  отделами.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35. </w:t>
      </w:r>
      <w:r w:rsidR="006975CA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="006975C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="006975CA" w:rsidRPr="00E87FB9">
        <w:rPr>
          <w:rFonts w:ascii="Times New Roman" w:hAnsi="Times New Roman" w:cs="Times New Roman"/>
          <w:sz w:val="24"/>
          <w:szCs w:val="24"/>
        </w:rPr>
        <w:t xml:space="preserve"> </w:t>
      </w: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планирования в соответствии с требованиями настоящего Порядка.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 xml:space="preserve">36. Кассовый </w:t>
      </w:r>
      <w:hyperlink w:anchor="P693" w:history="1">
        <w:r w:rsidRPr="00E87FB9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Pr="00E87FB9">
        <w:rPr>
          <w:rFonts w:ascii="Times New Roman" w:hAnsi="Times New Roman" w:cs="Times New Roman"/>
          <w:sz w:val="24"/>
          <w:szCs w:val="24"/>
        </w:rPr>
        <w:t xml:space="preserve"> на текущий месяц (приложение № 2 к н</w:t>
      </w:r>
      <w:r w:rsidR="00C27CC2">
        <w:rPr>
          <w:rFonts w:ascii="Times New Roman" w:hAnsi="Times New Roman" w:cs="Times New Roman"/>
          <w:sz w:val="24"/>
          <w:szCs w:val="24"/>
        </w:rPr>
        <w:t xml:space="preserve">астоящему Порядку) составляется Администрацией сельского поселения </w:t>
      </w:r>
      <w:r w:rsidR="00501931">
        <w:rPr>
          <w:rFonts w:ascii="Times New Roman" w:hAnsi="Times New Roman" w:cs="Times New Roman"/>
          <w:sz w:val="24"/>
          <w:szCs w:val="24"/>
        </w:rPr>
        <w:t>Рапатовский</w:t>
      </w:r>
      <w:r w:rsidR="00C27CC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  <w:r w:rsidRPr="00E87FB9">
        <w:rPr>
          <w:rFonts w:ascii="Times New Roman" w:hAnsi="Times New Roman" w:cs="Times New Roman"/>
          <w:sz w:val="24"/>
          <w:szCs w:val="24"/>
        </w:rPr>
        <w:t>: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на январь текущего финансового года – не позднее пятнадцатого рабочего дня декабря текущего финансового года;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в период с февраля по декабрь текущего финансового года – ежемесячно не позднее пятого рабочего дня.</w:t>
      </w:r>
    </w:p>
    <w:p w:rsidR="004E2807" w:rsidRPr="00E87FB9" w:rsidRDefault="004E2807" w:rsidP="004E2807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B9">
        <w:rPr>
          <w:rFonts w:ascii="Times New Roman" w:hAnsi="Times New Roman" w:cs="Times New Roman"/>
          <w:sz w:val="24"/>
          <w:szCs w:val="24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месяц.</w:t>
      </w:r>
    </w:p>
    <w:p w:rsidR="004E2807" w:rsidRPr="004E2807" w:rsidRDefault="004E2807" w:rsidP="004E280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авления</w:t>
      </w: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и ведения касс</w:t>
      </w:r>
      <w:r w:rsidRPr="00540998">
        <w:rPr>
          <w:sz w:val="18"/>
          <w:szCs w:val="18"/>
        </w:rPr>
        <w:lastRenderedPageBreak/>
        <w:t>ового плана</w:t>
      </w:r>
    </w:p>
    <w:p w:rsidR="004E2807" w:rsidRPr="00540998" w:rsidRDefault="004E2807" w:rsidP="004E2807">
      <w:pPr>
        <w:pStyle w:val="ConsPlusNormal"/>
        <w:ind w:left="10773"/>
        <w:rPr>
          <w:sz w:val="18"/>
          <w:szCs w:val="18"/>
        </w:rPr>
      </w:pPr>
      <w:r w:rsidRPr="00540998">
        <w:rPr>
          <w:sz w:val="18"/>
          <w:szCs w:val="18"/>
        </w:rPr>
        <w:t>бюджета</w:t>
      </w:r>
      <w:r w:rsidRPr="00540998">
        <w:rPr>
          <w:sz w:val="28"/>
          <w:szCs w:val="2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 муниципального </w:t>
      </w:r>
      <w:r w:rsidRPr="00540998">
        <w:rPr>
          <w:sz w:val="18"/>
          <w:szCs w:val="18"/>
        </w:rPr>
        <w:lastRenderedPageBreak/>
        <w:t xml:space="preserve">района </w:t>
      </w:r>
      <w:r w:rsidR="00E87FB9">
        <w:rPr>
          <w:sz w:val="18"/>
          <w:szCs w:val="18"/>
        </w:rPr>
        <w:t>Чекмагушевский</w:t>
      </w:r>
      <w:r w:rsidRPr="00540998">
        <w:rPr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>в текущем финансовом году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E2807" w:rsidRPr="00537A60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</w:t>
      </w:r>
      <w:r w:rsidRPr="00537A60">
        <w:rPr>
          <w:rFonts w:ascii="Times New Roman" w:hAnsi="Times New Roman" w:cs="Times New Roman"/>
          <w:sz w:val="18"/>
          <w:szCs w:val="18"/>
        </w:rPr>
        <w:lastRenderedPageBreak/>
        <w:t>илия)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  <w:sectPr w:rsidR="004E2807" w:rsidSect="00A0008F">
          <w:headerReference w:type="even" r:id="rId8"/>
          <w:pgSz w:w="11906" w:h="16838"/>
          <w:pgMar w:top="426" w:right="850" w:bottom="426" w:left="1560" w:header="708" w:footer="708" w:gutter="0"/>
          <w:cols w:space="708"/>
          <w:docGrid w:linePitch="360"/>
        </w:sectPr>
      </w:pPr>
      <w:r w:rsidRPr="00537A60">
        <w:rPr>
          <w:rFonts w:ascii="Times New Roman" w:hAnsi="Times New Roman" w:cs="Times New Roman"/>
          <w:sz w:val="18"/>
          <w:szCs w:val="18"/>
        </w:rPr>
        <w:t>"__" _____</w:t>
      </w:r>
      <w:bookmarkStart w:id="3" w:name="P693"/>
      <w:bookmarkEnd w:id="3"/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lastRenderedPageBreak/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МУНИИЦИПАЛЬНОГО РАЙОНА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37A60">
              <w:rPr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37A60">
              <w:rPr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37A60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37A60">
              <w:rPr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37A60">
              <w:rPr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37A60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37A60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37A60">
              <w:rPr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37A60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Итого за год</w:t>
            </w: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Остатки на едином счете бюджета</w:t>
            </w:r>
            <w:r>
              <w:rPr>
                <w:sz w:val="18"/>
                <w:szCs w:val="18"/>
              </w:rPr>
              <w:t xml:space="preserve"> 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>
              <w:rPr>
                <w:sz w:val="18"/>
                <w:szCs w:val="18"/>
              </w:rPr>
              <w:t xml:space="preserve"> сельсовет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Поступления по доходам и источникам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и неналоговые доходы,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Поступления по </w:t>
            </w:r>
            <w:r>
              <w:rPr>
                <w:sz w:val="18"/>
                <w:szCs w:val="18"/>
              </w:rPr>
              <w:t>источник</w:t>
            </w:r>
            <w:r w:rsidRPr="00537A60">
              <w:rPr>
                <w:sz w:val="18"/>
                <w:szCs w:val="18"/>
              </w:rPr>
              <w:t>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</w:t>
            </w:r>
            <w:r w:rsidRPr="00537A60">
              <w:rPr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  <w:p w:rsidR="004E2807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 М</w:t>
            </w:r>
            <w:r>
              <w:rPr>
                <w:sz w:val="18"/>
                <w:szCs w:val="18"/>
              </w:rPr>
              <w:t xml:space="preserve">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E12F73">
              <w:rPr>
                <w:sz w:val="18"/>
                <w:szCs w:val="18"/>
              </w:rPr>
              <w:t>привлечение</w:t>
            </w:r>
            <w:r w:rsidRPr="00537A6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0300</w:t>
            </w:r>
          </w:p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 перечисления по расходам,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межбюджетные трансферты,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</w:t>
            </w:r>
            <w:r w:rsidRPr="00537A60">
              <w:rPr>
                <w:sz w:val="18"/>
                <w:szCs w:val="18"/>
              </w:rPr>
              <w:lastRenderedPageBreak/>
              <w:t>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</w:t>
            </w:r>
            <w:r w:rsidRPr="00B63BB2">
              <w:rPr>
                <w:sz w:val="18"/>
                <w:szCs w:val="18"/>
              </w:rPr>
              <w:lastRenderedPageBreak/>
              <w:t>312_1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18</w:t>
            </w: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Перечисления  по источникам финансирования дефицита бюджета</w:t>
            </w:r>
            <w:r w:rsidRPr="00B7736D">
              <w:rPr>
                <w:sz w:val="28"/>
                <w:szCs w:val="2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</w:t>
            </w:r>
            <w:r w:rsidRPr="00537A60">
              <w:rPr>
                <w:sz w:val="18"/>
                <w:szCs w:val="18"/>
              </w:rPr>
              <w:lastRenderedPageBreak/>
              <w:t>Республики Башкортостан - всего,</w:t>
            </w:r>
          </w:p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lastRenderedPageBreak/>
              <w:t>0330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40998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40998">
              <w:rPr>
                <w:sz w:val="18"/>
                <w:szCs w:val="18"/>
              </w:rPr>
              <w:t xml:space="preserve">размещение средств 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 бюджета МР </w:t>
            </w:r>
            <w:r w:rsidR="00E87FB9">
              <w:rPr>
                <w:sz w:val="18"/>
                <w:szCs w:val="18"/>
              </w:rPr>
              <w:t>Чекмагушевский</w:t>
            </w:r>
            <w:r w:rsidRPr="00540998">
              <w:rPr>
                <w:sz w:val="18"/>
                <w:szCs w:val="18"/>
              </w:rPr>
              <w:t xml:space="preserve"> район Республики Башкортостан на банковские депозиты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37A60" w:rsidTr="00E95C98">
        <w:tc>
          <w:tcPr>
            <w:tcW w:w="2189" w:type="dxa"/>
          </w:tcPr>
          <w:p w:rsidR="004E2807" w:rsidRPr="00537A60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37A60">
              <w:rPr>
                <w:sz w:val="18"/>
                <w:szCs w:val="18"/>
              </w:rPr>
              <w:t xml:space="preserve">Остатки на едином счете </w:t>
            </w:r>
            <w:r w:rsidRPr="00540998">
              <w:rPr>
                <w:sz w:val="18"/>
                <w:szCs w:val="18"/>
              </w:rPr>
              <w:t xml:space="preserve">бюджета 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 МР</w:t>
            </w:r>
            <w:r>
              <w:rPr>
                <w:sz w:val="18"/>
                <w:szCs w:val="18"/>
              </w:rPr>
              <w:t xml:space="preserve">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537A60">
              <w:rPr>
                <w:sz w:val="18"/>
                <w:szCs w:val="18"/>
              </w:rPr>
              <w:t xml:space="preserve"> 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4E2807" w:rsidRPr="00B63BB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B63BB2">
              <w:rPr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37A60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007F7C" w:rsidRDefault="004E2807" w:rsidP="004E2807">
      <w:pPr>
        <w:rPr>
          <w:sz w:val="14"/>
          <w:szCs w:val="2"/>
        </w:rPr>
      </w:pPr>
      <w:r>
        <w:rPr>
          <w:sz w:val="14"/>
          <w:szCs w:val="2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37A60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37A60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37A60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к Порядку составления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и ведения кассового плана</w:t>
      </w:r>
    </w:p>
    <w:p w:rsidR="004E2807" w:rsidRPr="00537A60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37A60">
        <w:rPr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rmal"/>
        <w:ind w:left="10773"/>
        <w:rPr>
          <w:sz w:val="18"/>
          <w:szCs w:val="18"/>
        </w:rPr>
      </w:pPr>
      <w:r w:rsidRPr="00537A60">
        <w:rPr>
          <w:sz w:val="18"/>
          <w:szCs w:val="18"/>
        </w:rPr>
        <w:t>в текущем финансовом году</w:t>
      </w:r>
    </w:p>
    <w:p w:rsidR="004E2807" w:rsidRDefault="004E2807" w:rsidP="004E2807">
      <w:pPr>
        <w:pStyle w:val="ConsPlusNormal"/>
        <w:rPr>
          <w:sz w:val="18"/>
          <w:szCs w:val="18"/>
        </w:rPr>
      </w:pP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4E2807" w:rsidRDefault="004E2807" w:rsidP="004E280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"__" ________ 20__ г.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37A60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бюджетных кредитов, предоставленных другим бюджетам </w:t>
            </w:r>
            <w:r w:rsidRPr="00757BB0">
              <w:rPr>
                <w:sz w:val="18"/>
                <w:szCs w:val="18"/>
              </w:rPr>
              <w:lastRenderedPageBreak/>
              <w:t>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бюджета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</w:t>
            </w:r>
            <w:r w:rsidRPr="00757BB0">
              <w:rPr>
                <w:sz w:val="18"/>
                <w:szCs w:val="18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 w:rsidRPr="00540998">
              <w:rPr>
                <w:sz w:val="18"/>
                <w:szCs w:val="18"/>
              </w:rPr>
              <w:t xml:space="preserve">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 </w:t>
            </w:r>
            <w:r>
              <w:rPr>
                <w:sz w:val="18"/>
                <w:szCs w:val="18"/>
              </w:rPr>
              <w:t xml:space="preserve">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4E2807" w:rsidRPr="00757BB0" w:rsidTr="00E95C98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средств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  <w:tr w:rsidR="004E2807" w:rsidRPr="00757BB0" w:rsidTr="00E95C9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807" w:rsidRPr="00757BB0" w:rsidRDefault="004E2807" w:rsidP="00E95C98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Остатки на едином счете бюджета</w:t>
            </w:r>
            <w:r w:rsidRPr="00540998">
              <w:rPr>
                <w:sz w:val="18"/>
                <w:szCs w:val="18"/>
              </w:rPr>
              <w:t xml:space="preserve"> сельского поселения </w:t>
            </w:r>
            <w:r w:rsidR="00501931">
              <w:rPr>
                <w:sz w:val="18"/>
                <w:szCs w:val="18"/>
              </w:rPr>
              <w:t>Рапатовский</w:t>
            </w:r>
            <w:r w:rsidRPr="00540998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МР </w:t>
            </w:r>
            <w:r w:rsidR="00E87FB9">
              <w:rPr>
                <w:sz w:val="18"/>
                <w:szCs w:val="18"/>
              </w:rPr>
              <w:t>Чекмагушевский</w:t>
            </w:r>
            <w:r>
              <w:rPr>
                <w:sz w:val="18"/>
                <w:szCs w:val="18"/>
              </w:rPr>
              <w:t xml:space="preserve"> район</w:t>
            </w:r>
            <w:r w:rsidRPr="00757BB0">
              <w:rPr>
                <w:sz w:val="18"/>
                <w:szCs w:val="18"/>
              </w:rPr>
              <w:t xml:space="preserve"> 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AF5FD7" w:rsidRDefault="004E2807" w:rsidP="00E95C98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E2807" w:rsidRPr="00757BB0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lastRenderedPageBreak/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и ведения кассового плана исполнения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>
        <w:rPr>
          <w:sz w:val="18"/>
          <w:szCs w:val="18"/>
        </w:rPr>
        <w:t>в текущем финансовом году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4" w:name="P162"/>
      <w:bookmarkEnd w:id="4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4E2807" w:rsidRPr="0002173A" w:rsidTr="00E95C98">
        <w:tc>
          <w:tcPr>
            <w:tcW w:w="105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t xml:space="preserve">по </w:t>
            </w:r>
            <w:r w:rsidRPr="0002173A">
              <w:rPr>
                <w:sz w:val="18"/>
                <w:szCs w:val="18"/>
              </w:rPr>
              <w:t>БК</w:t>
            </w:r>
            <w:r>
              <w:rPr>
                <w:sz w:val="18"/>
                <w:szCs w:val="18"/>
              </w:rPr>
              <w:t xml:space="preserve"> </w:t>
            </w:r>
            <w:r w:rsidRPr="00432CA0">
              <w:rPr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 за год</w:t>
            </w:r>
          </w:p>
        </w:tc>
      </w:tr>
      <w:tr w:rsidR="004E2807" w:rsidRPr="0002173A" w:rsidTr="00E95C98">
        <w:tc>
          <w:tcPr>
            <w:tcW w:w="105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4E2807" w:rsidRPr="0002173A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18</w:t>
            </w:r>
          </w:p>
        </w:tc>
      </w:tr>
      <w:tr w:rsidR="004E2807" w:rsidRPr="0002173A" w:rsidTr="00E95C98">
        <w:tc>
          <w:tcPr>
            <w:tcW w:w="105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02173A" w:rsidTr="00E95C98">
        <w:tc>
          <w:tcPr>
            <w:tcW w:w="105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02173A">
              <w:rPr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4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02173A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</w:t>
      </w:r>
      <w:r>
        <w:rPr>
          <w:rFonts w:ascii="Times New Roman" w:hAnsi="Times New Roman" w:cs="Times New Roman"/>
          <w:sz w:val="18"/>
          <w:szCs w:val="18"/>
        </w:rPr>
        <w:t xml:space="preserve">___ 20___ 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4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lastRenderedPageBreak/>
        <w:t>кассового плана исполнения 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5" w:name="P1387"/>
      <w:bookmarkEnd w:id="5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управления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4E2807" w:rsidRPr="00574455" w:rsidTr="00E95C98">
        <w:tc>
          <w:tcPr>
            <w:tcW w:w="1763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7E3BD7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74455">
              <w:rPr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74455">
              <w:rPr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74455">
              <w:rPr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74455">
              <w:rPr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74455">
              <w:rPr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74455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74455">
              <w:rPr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74455">
              <w:rPr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74455">
              <w:rPr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Итого за год</w:t>
            </w:r>
          </w:p>
        </w:tc>
      </w:tr>
      <w:tr w:rsidR="004E2807" w:rsidRPr="00574455" w:rsidTr="00E95C98">
        <w:tc>
          <w:tcPr>
            <w:tcW w:w="1763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18</w:t>
            </w: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574455" w:rsidTr="00E95C98">
        <w:tc>
          <w:tcPr>
            <w:tcW w:w="1763" w:type="dxa"/>
          </w:tcPr>
          <w:p w:rsidR="004E2807" w:rsidRPr="00574455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74455">
              <w:rPr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4E2807" w:rsidRPr="00574455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574455" w:rsidRDefault="004E2807" w:rsidP="004E2807">
      <w:pPr>
        <w:pStyle w:val="ConsPlusNormal"/>
        <w:ind w:firstLine="540"/>
        <w:jc w:val="both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E87FB9" w:rsidRDefault="00E87FB9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02173A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02173A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5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к Порядку составления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lastRenderedPageBreak/>
        <w:t>и ведения кассового плана исполнения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02173A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02173A">
        <w:rPr>
          <w:sz w:val="18"/>
          <w:szCs w:val="18"/>
        </w:rPr>
        <w:t xml:space="preserve">в текущем финансовом году </w:t>
      </w: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4099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                                                                                 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4E2807" w:rsidRPr="00AF5557" w:rsidTr="00E95C98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4E2807" w:rsidRPr="00AF5557" w:rsidRDefault="004E2807" w:rsidP="00E95C98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E2807" w:rsidRPr="00AF5557" w:rsidTr="00E95C98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4E2807" w:rsidRPr="00AF5557" w:rsidRDefault="004E2807" w:rsidP="00E95C98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E2807" w:rsidRPr="0002173A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02173A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87FB9" w:rsidRPr="0002173A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4E2807" w:rsidRDefault="004E2807" w:rsidP="004E280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74455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74455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</w:t>
      </w:r>
      <w:r w:rsidRPr="00574455">
        <w:rPr>
          <w:sz w:val="18"/>
          <w:szCs w:val="18"/>
        </w:rPr>
        <w:t xml:space="preserve"> </w:t>
      </w:r>
      <w:r>
        <w:rPr>
          <w:sz w:val="18"/>
          <w:szCs w:val="18"/>
        </w:rPr>
        <w:t>6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 Порядку составления и ведения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кассового плана исполнения бюджета</w:t>
      </w:r>
      <w:r w:rsidRPr="00540998">
        <w:rPr>
          <w:sz w:val="18"/>
          <w:szCs w:val="18"/>
        </w:rPr>
        <w:t xml:space="preserve"> сельского </w:t>
      </w:r>
      <w:r w:rsidRPr="00540998">
        <w:rPr>
          <w:sz w:val="18"/>
          <w:szCs w:val="18"/>
        </w:rPr>
        <w:lastRenderedPageBreak/>
        <w:t xml:space="preserve">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</w:p>
    <w:p w:rsidR="004E2807" w:rsidRPr="00574455" w:rsidRDefault="004E2807" w:rsidP="004E2807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Республики Башкортостан</w:t>
      </w:r>
    </w:p>
    <w:p w:rsidR="004E2807" w:rsidRPr="00574455" w:rsidRDefault="004E2807" w:rsidP="00E87FB9">
      <w:pPr>
        <w:pStyle w:val="ConsPlusNormal"/>
        <w:ind w:left="10773"/>
        <w:rPr>
          <w:sz w:val="18"/>
          <w:szCs w:val="18"/>
        </w:rPr>
      </w:pPr>
      <w:r w:rsidRPr="00574455">
        <w:rPr>
          <w:sz w:val="18"/>
          <w:szCs w:val="18"/>
        </w:rPr>
        <w:t>в текущем финансовом году</w:t>
      </w:r>
    </w:p>
    <w:p w:rsidR="004E2807" w:rsidRPr="00574455" w:rsidRDefault="004E2807" w:rsidP="004E2807">
      <w:pPr>
        <w:pStyle w:val="ConsPlusNormal"/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74455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4E2807" w:rsidRPr="00DE3F01" w:rsidTr="00E95C98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4E2807" w:rsidRPr="00DE3F01" w:rsidTr="00E95C98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2807" w:rsidRPr="00DE3F01" w:rsidTr="00E95C98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807" w:rsidRPr="00DE3F01" w:rsidRDefault="004E2807" w:rsidP="00E95C98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807" w:rsidRPr="00DE3F01" w:rsidRDefault="004E2807" w:rsidP="00E95C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4E2807" w:rsidRPr="00574455" w:rsidRDefault="00E87FB9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2807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    (подпись) </w:t>
      </w:r>
      <w:r w:rsidR="004E2807">
        <w:rPr>
          <w:rFonts w:ascii="Times New Roman" w:hAnsi="Times New Roman" w:cs="Times New Roman"/>
          <w:sz w:val="18"/>
          <w:szCs w:val="18"/>
        </w:rPr>
        <w:t xml:space="preserve">  </w:t>
      </w:r>
      <w:r w:rsidR="004E2807" w:rsidRPr="00574455">
        <w:rPr>
          <w:rFonts w:ascii="Times New Roman" w:hAnsi="Times New Roman" w:cs="Times New Roman"/>
          <w:sz w:val="18"/>
          <w:szCs w:val="18"/>
        </w:rPr>
        <w:t xml:space="preserve">    (расшифровка подписи)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574455">
        <w:rPr>
          <w:rFonts w:ascii="Times New Roman" w:hAnsi="Times New Roman" w:cs="Times New Roman"/>
          <w:sz w:val="18"/>
          <w:szCs w:val="18"/>
        </w:rPr>
        <w:t xml:space="preserve"> (расшифровка подписи) (телефон)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 (И.О.Фамилия)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7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lastRenderedPageBreak/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6" w:name="P272"/>
      <w:bookmarkEnd w:id="6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ФИНАНСОВЫЙ ГОД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Главный распорядитель средств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 Республики Башкортостан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4E2807" w:rsidRPr="00874776" w:rsidTr="00E95C98">
        <w:tc>
          <w:tcPr>
            <w:tcW w:w="133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E95C98">
            <w:pPr>
              <w:pStyle w:val="ConsPlusNormal"/>
              <w:ind w:left="-204" w:right="-204" w:firstLine="204"/>
              <w:jc w:val="center"/>
              <w:rPr>
                <w:sz w:val="18"/>
                <w:szCs w:val="18"/>
              </w:rPr>
            </w:pPr>
            <w:r w:rsidRPr="000E4A35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 за год</w:t>
            </w:r>
          </w:p>
        </w:tc>
      </w:tr>
      <w:tr w:rsidR="004E2807" w:rsidRPr="00874776" w:rsidTr="00E95C98">
        <w:tc>
          <w:tcPr>
            <w:tcW w:w="133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4E2807" w:rsidRPr="00874776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18</w:t>
            </w:r>
          </w:p>
        </w:tc>
      </w:tr>
      <w:tr w:rsidR="004E2807" w:rsidRPr="00874776" w:rsidTr="00E95C98">
        <w:tc>
          <w:tcPr>
            <w:tcW w:w="133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874776" w:rsidTr="00E95C98">
        <w:tc>
          <w:tcPr>
            <w:tcW w:w="133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  <w:r w:rsidRPr="00874776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E2807" w:rsidRPr="00874776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874776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874776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8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к Порядку составления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>и ведения кассового плана исполнения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lastRenderedPageBreak/>
        <w:t>бюджета</w:t>
      </w:r>
      <w:r w:rsidRPr="00540998">
        <w:rPr>
          <w:sz w:val="18"/>
          <w:szCs w:val="18"/>
        </w:rPr>
        <w:t xml:space="preserve"> 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 xml:space="preserve"> 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874776">
        <w:rPr>
          <w:sz w:val="18"/>
          <w:szCs w:val="18"/>
        </w:rPr>
        <w:t xml:space="preserve"> Республики Башкортостан</w:t>
      </w:r>
    </w:p>
    <w:p w:rsidR="004E2807" w:rsidRPr="00874776" w:rsidRDefault="004E2807" w:rsidP="004E2807">
      <w:pPr>
        <w:pStyle w:val="ConsPlusNormal"/>
        <w:ind w:left="10773"/>
        <w:rPr>
          <w:sz w:val="18"/>
          <w:szCs w:val="18"/>
        </w:rPr>
      </w:pPr>
      <w:r w:rsidRPr="00874776">
        <w:rPr>
          <w:sz w:val="18"/>
          <w:szCs w:val="18"/>
        </w:rPr>
        <w:t xml:space="preserve">в текущем финансовом году </w:t>
      </w:r>
    </w:p>
    <w:p w:rsidR="004E2807" w:rsidRPr="00874776" w:rsidRDefault="004E2807" w:rsidP="004E2807">
      <w:pPr>
        <w:pStyle w:val="ConsPlusNormal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           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___________________________________________________________________                                                                     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4E2807" w:rsidRPr="00C71778" w:rsidTr="00E95C98">
        <w:tc>
          <w:tcPr>
            <w:tcW w:w="2271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62734F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в том числе по рабочим дням месяца:</w:t>
            </w:r>
          </w:p>
        </w:tc>
      </w:tr>
      <w:tr w:rsidR="004E2807" w:rsidRPr="00C71778" w:rsidTr="00E95C98">
        <w:tc>
          <w:tcPr>
            <w:tcW w:w="2271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4E2807" w:rsidRPr="00C71778" w:rsidRDefault="004E2807" w:rsidP="00E95C98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rPr>
          <w:trHeight w:val="173"/>
        </w:trPr>
        <w:tc>
          <w:tcPr>
            <w:tcW w:w="2271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7" w:name="P5114"/>
            <w:bookmarkEnd w:id="7"/>
            <w:r w:rsidRPr="00C71778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8" w:name="P5115"/>
            <w:bookmarkEnd w:id="8"/>
            <w:r w:rsidRPr="00C71778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9" w:name="P5137"/>
            <w:bookmarkEnd w:id="9"/>
            <w:r w:rsidRPr="00C71778">
              <w:rPr>
                <w:sz w:val="18"/>
                <w:szCs w:val="18"/>
              </w:rPr>
              <w:t>26</w:t>
            </w:r>
          </w:p>
        </w:tc>
      </w:tr>
      <w:tr w:rsidR="004E2807" w:rsidRPr="00C71778" w:rsidTr="00E95C98">
        <w:trPr>
          <w:trHeight w:val="193"/>
        </w:trPr>
        <w:tc>
          <w:tcPr>
            <w:tcW w:w="2271" w:type="dxa"/>
            <w:vAlign w:val="bottom"/>
          </w:tcPr>
          <w:p w:rsidR="004E2807" w:rsidRPr="00C71778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rPr>
          <w:trHeight w:val="44"/>
        </w:trPr>
        <w:tc>
          <w:tcPr>
            <w:tcW w:w="2271" w:type="dxa"/>
            <w:vAlign w:val="bottom"/>
          </w:tcPr>
          <w:p w:rsidR="004E2807" w:rsidRPr="00C71778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E2807" w:rsidRPr="00C71778" w:rsidTr="00E95C98">
        <w:tc>
          <w:tcPr>
            <w:tcW w:w="2271" w:type="dxa"/>
            <w:vAlign w:val="center"/>
          </w:tcPr>
          <w:p w:rsidR="004E2807" w:rsidRPr="00C71778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C71778">
              <w:rPr>
                <w:sz w:val="18"/>
                <w:szCs w:val="18"/>
              </w:rPr>
              <w:t>x</w:t>
            </w:r>
          </w:p>
        </w:tc>
        <w:tc>
          <w:tcPr>
            <w:tcW w:w="1419" w:type="dxa"/>
            <w:vAlign w:val="bottom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3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64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4E2807" w:rsidRPr="00C71778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4E2807" w:rsidRPr="00874776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874776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9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lastRenderedPageBreak/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97252" w:rsidRDefault="004E2807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0" w:name="P380"/>
      <w:bookmarkEnd w:id="1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D322AE">
              <w:rPr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</w:t>
            </w:r>
            <w:r w:rsidRPr="00597252">
              <w:rPr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 w:rsidRPr="00597252">
              <w:rPr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597252">
              <w:rPr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597252">
              <w:rPr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597252">
              <w:rPr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97252">
              <w:rPr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597252">
              <w:rPr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597252">
              <w:rPr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7252">
              <w:rPr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ind w:left="-204" w:firstLine="204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 за год</w:t>
            </w:r>
          </w:p>
        </w:tc>
      </w:tr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ind w:left="-62" w:firstLine="141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Default="004E2807" w:rsidP="004E2807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4E2807" w:rsidRPr="00597252" w:rsidTr="00E95C98">
        <w:tc>
          <w:tcPr>
            <w:tcW w:w="133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4E2807" w:rsidRPr="00597252" w:rsidRDefault="004E2807" w:rsidP="00E95C98">
            <w:pPr>
              <w:pStyle w:val="ConsPlusNormal"/>
              <w:jc w:val="center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18</w:t>
            </w: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4E2807" w:rsidRPr="00597252" w:rsidTr="00E95C98">
        <w:tc>
          <w:tcPr>
            <w:tcW w:w="1338" w:type="dxa"/>
          </w:tcPr>
          <w:p w:rsidR="004E2807" w:rsidRPr="00597252" w:rsidRDefault="004E2807" w:rsidP="00E95C98">
            <w:pPr>
              <w:pStyle w:val="ConsPlusNormal"/>
              <w:jc w:val="both"/>
              <w:rPr>
                <w:sz w:val="18"/>
                <w:szCs w:val="18"/>
              </w:rPr>
            </w:pPr>
            <w:r w:rsidRPr="00597252">
              <w:rPr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30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7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8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77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53" w:type="dxa"/>
          </w:tcPr>
          <w:p w:rsidR="004E2807" w:rsidRPr="00597252" w:rsidRDefault="004E2807" w:rsidP="00E95C98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4E2807" w:rsidRPr="00597252" w:rsidRDefault="004E2807" w:rsidP="004E2807">
      <w:pPr>
        <w:rPr>
          <w:sz w:val="18"/>
          <w:szCs w:val="18"/>
        </w:rPr>
      </w:pPr>
    </w:p>
    <w:p w:rsidR="004E2807" w:rsidRPr="00574455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74455" w:rsidRDefault="004E2807" w:rsidP="004E2807">
      <w:pPr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</w:p>
    <w:p w:rsidR="004E2807" w:rsidRPr="00597252" w:rsidRDefault="004E2807" w:rsidP="004E2807">
      <w:pPr>
        <w:pStyle w:val="ConsPlusNormal"/>
        <w:ind w:left="10773"/>
        <w:outlineLvl w:val="1"/>
        <w:rPr>
          <w:sz w:val="18"/>
          <w:szCs w:val="18"/>
        </w:rPr>
      </w:pPr>
      <w:r>
        <w:rPr>
          <w:sz w:val="18"/>
          <w:szCs w:val="18"/>
        </w:rPr>
        <w:t>«</w:t>
      </w:r>
      <w:r w:rsidRPr="00597252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10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к Порядку составления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и ведения кассового плана исполнения</w:t>
      </w:r>
    </w:p>
    <w:p w:rsidR="004E2807" w:rsidRPr="00597252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бюджета</w:t>
      </w:r>
      <w:r>
        <w:rPr>
          <w:sz w:val="18"/>
          <w:szCs w:val="18"/>
        </w:rPr>
        <w:t xml:space="preserve"> </w:t>
      </w:r>
      <w:r w:rsidRPr="00540998">
        <w:rPr>
          <w:sz w:val="18"/>
          <w:szCs w:val="18"/>
        </w:rPr>
        <w:t xml:space="preserve">сельского поселения </w:t>
      </w:r>
      <w:r w:rsidR="00501931">
        <w:rPr>
          <w:sz w:val="18"/>
          <w:szCs w:val="18"/>
        </w:rPr>
        <w:t>Рапатовский</w:t>
      </w:r>
      <w:r w:rsidRPr="00540998">
        <w:rPr>
          <w:sz w:val="18"/>
          <w:szCs w:val="18"/>
        </w:rPr>
        <w:t xml:space="preserve"> сельсовет </w:t>
      </w:r>
      <w:r>
        <w:rPr>
          <w:sz w:val="18"/>
          <w:szCs w:val="18"/>
        </w:rPr>
        <w:t xml:space="preserve">МР </w:t>
      </w:r>
      <w:r w:rsidR="00E87FB9">
        <w:rPr>
          <w:sz w:val="18"/>
          <w:szCs w:val="18"/>
        </w:rPr>
        <w:t>Чекмагушевский</w:t>
      </w:r>
      <w:r>
        <w:rPr>
          <w:sz w:val="18"/>
          <w:szCs w:val="18"/>
        </w:rPr>
        <w:t xml:space="preserve"> район</w:t>
      </w:r>
      <w:r w:rsidRPr="00597252">
        <w:rPr>
          <w:sz w:val="18"/>
          <w:szCs w:val="18"/>
        </w:rPr>
        <w:t xml:space="preserve"> Республики Башкортостан</w:t>
      </w:r>
    </w:p>
    <w:p w:rsidR="004E2807" w:rsidRPr="0002173A" w:rsidRDefault="004E2807" w:rsidP="004E2807">
      <w:pPr>
        <w:pStyle w:val="ConsPlusNormal"/>
        <w:ind w:left="10773"/>
        <w:rPr>
          <w:sz w:val="18"/>
          <w:szCs w:val="18"/>
        </w:rPr>
      </w:pPr>
      <w:r w:rsidRPr="00597252">
        <w:rPr>
          <w:sz w:val="18"/>
          <w:szCs w:val="18"/>
        </w:rPr>
        <w:t>в текущем финансовом году</w:t>
      </w:r>
      <w:r w:rsidRPr="0002173A">
        <w:rPr>
          <w:sz w:val="18"/>
          <w:szCs w:val="18"/>
        </w:rPr>
        <w:t xml:space="preserve"> </w:t>
      </w:r>
    </w:p>
    <w:p w:rsidR="004E2807" w:rsidRPr="00597252" w:rsidRDefault="004E2807" w:rsidP="004E2807">
      <w:pPr>
        <w:pStyle w:val="ConsPlusNormal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Главный администратор источников финансирования дефицита бюджета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501931">
        <w:rPr>
          <w:rFonts w:ascii="Times New Roman" w:hAnsi="Times New Roman" w:cs="Times New Roman"/>
          <w:sz w:val="18"/>
          <w:szCs w:val="18"/>
        </w:rPr>
        <w:t>Рапатовский</w:t>
      </w:r>
      <w:r w:rsidRPr="00540998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r w:rsidR="00E87FB9">
        <w:rPr>
          <w:rFonts w:ascii="Times New Roman" w:hAnsi="Times New Roman" w:cs="Times New Roman"/>
          <w:sz w:val="18"/>
          <w:szCs w:val="18"/>
        </w:rPr>
        <w:t>Чекмагушевский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РБ             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4E2807" w:rsidRPr="006E741B" w:rsidTr="00E95C9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F04CD">
              <w:rPr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4E2807" w:rsidRPr="006E741B" w:rsidTr="00E95C9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27</w:t>
            </w: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4E2807" w:rsidRPr="006E741B" w:rsidTr="00E95C98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7" w:rsidRPr="006E741B" w:rsidRDefault="004E2807" w:rsidP="00E95C98">
            <w:pPr>
              <w:pStyle w:val="ConsPlusNormal"/>
              <w:spacing w:line="276" w:lineRule="auto"/>
              <w:rPr>
                <w:sz w:val="18"/>
                <w:szCs w:val="18"/>
                <w:lang w:eastAsia="en-US"/>
              </w:rPr>
            </w:pPr>
            <w:r w:rsidRPr="006E741B">
              <w:rPr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807" w:rsidRPr="006E741B" w:rsidRDefault="004E2807" w:rsidP="00E95C98">
            <w:pPr>
              <w:pStyle w:val="ConsPlusNorma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E2807" w:rsidRPr="00597252" w:rsidRDefault="004E2807" w:rsidP="004E2807">
      <w:pPr>
        <w:pStyle w:val="ConsPlusNormal"/>
        <w:jc w:val="both"/>
        <w:rPr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E2807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E2807" w:rsidRPr="00597252" w:rsidRDefault="004E2807" w:rsidP="004E28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2C5B" w:rsidRDefault="00772C5B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1755" w:rsidRDefault="00C81755" w:rsidP="00AB42F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81755" w:rsidSect="004E2807">
      <w:pgSz w:w="16838" w:h="11906" w:orient="landscape"/>
      <w:pgMar w:top="851" w:right="425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C03" w:rsidRDefault="00F91C03" w:rsidP="004E2807">
      <w:pPr>
        <w:spacing w:after="0" w:line="240" w:lineRule="auto"/>
      </w:pPr>
      <w:r>
        <w:separator/>
      </w:r>
    </w:p>
  </w:endnote>
  <w:endnote w:type="continuationSeparator" w:id="1">
    <w:p w:rsidR="00F91C03" w:rsidRDefault="00F91C03" w:rsidP="004E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C03" w:rsidRDefault="00F91C03" w:rsidP="004E2807">
      <w:pPr>
        <w:spacing w:after="0" w:line="240" w:lineRule="auto"/>
      </w:pPr>
      <w:r>
        <w:separator/>
      </w:r>
    </w:p>
  </w:footnote>
  <w:footnote w:type="continuationSeparator" w:id="1">
    <w:p w:rsidR="00F91C03" w:rsidRDefault="00F91C03" w:rsidP="004E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97" w:rsidRDefault="00B4312E">
    <w:pPr>
      <w:pStyle w:val="af"/>
      <w:framePr w:wrap="around" w:vAnchor="text" w:hAnchor="margin" w:xAlign="center" w:y="1"/>
      <w:rPr>
        <w:rStyle w:val="af1"/>
        <w:rFonts w:eastAsiaTheme="majorEastAsia"/>
      </w:rPr>
    </w:pPr>
    <w:r>
      <w:rPr>
        <w:rStyle w:val="af1"/>
        <w:rFonts w:eastAsiaTheme="majorEastAsia"/>
      </w:rPr>
      <w:fldChar w:fldCharType="begin"/>
    </w:r>
    <w:r w:rsidR="00CE7859">
      <w:rPr>
        <w:rStyle w:val="af1"/>
        <w:rFonts w:eastAsiaTheme="majorEastAsia"/>
      </w:rPr>
      <w:instrText xml:space="preserve">PAGE  </w:instrText>
    </w:r>
    <w:r>
      <w:rPr>
        <w:rStyle w:val="af1"/>
        <w:rFonts w:eastAsiaTheme="majorEastAsia"/>
      </w:rPr>
      <w:fldChar w:fldCharType="end"/>
    </w:r>
  </w:p>
  <w:p w:rsidR="00225497" w:rsidRDefault="00F91C0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6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9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5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8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4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2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7"/>
  </w:num>
  <w:num w:numId="4">
    <w:abstractNumId w:val="13"/>
  </w:num>
  <w:num w:numId="5">
    <w:abstractNumId w:val="29"/>
  </w:num>
  <w:num w:numId="6">
    <w:abstractNumId w:val="1"/>
  </w:num>
  <w:num w:numId="7">
    <w:abstractNumId w:val="19"/>
  </w:num>
  <w:num w:numId="8">
    <w:abstractNumId w:val="7"/>
  </w:num>
  <w:num w:numId="9">
    <w:abstractNumId w:val="20"/>
  </w:num>
  <w:num w:numId="10">
    <w:abstractNumId w:val="5"/>
  </w:num>
  <w:num w:numId="11">
    <w:abstractNumId w:val="9"/>
  </w:num>
  <w:num w:numId="12">
    <w:abstractNumId w:val="15"/>
  </w:num>
  <w:num w:numId="13">
    <w:abstractNumId w:val="16"/>
  </w:num>
  <w:num w:numId="14">
    <w:abstractNumId w:val="18"/>
  </w:num>
  <w:num w:numId="15">
    <w:abstractNumId w:val="26"/>
  </w:num>
  <w:num w:numId="16">
    <w:abstractNumId w:val="22"/>
  </w:num>
  <w:num w:numId="17">
    <w:abstractNumId w:val="24"/>
  </w:num>
  <w:num w:numId="18">
    <w:abstractNumId w:val="11"/>
  </w:num>
  <w:num w:numId="19">
    <w:abstractNumId w:val="23"/>
  </w:num>
  <w:num w:numId="20">
    <w:abstractNumId w:val="14"/>
  </w:num>
  <w:num w:numId="21">
    <w:abstractNumId w:val="31"/>
  </w:num>
  <w:num w:numId="22">
    <w:abstractNumId w:val="34"/>
  </w:num>
  <w:num w:numId="23">
    <w:abstractNumId w:val="35"/>
  </w:num>
  <w:num w:numId="24">
    <w:abstractNumId w:val="12"/>
  </w:num>
  <w:num w:numId="25">
    <w:abstractNumId w:val="10"/>
  </w:num>
  <w:num w:numId="26">
    <w:abstractNumId w:val="30"/>
  </w:num>
  <w:num w:numId="27">
    <w:abstractNumId w:val="8"/>
  </w:num>
  <w:num w:numId="28">
    <w:abstractNumId w:val="27"/>
  </w:num>
  <w:num w:numId="29">
    <w:abstractNumId w:val="3"/>
  </w:num>
  <w:num w:numId="30">
    <w:abstractNumId w:val="25"/>
  </w:num>
  <w:num w:numId="31">
    <w:abstractNumId w:val="2"/>
  </w:num>
  <w:num w:numId="32">
    <w:abstractNumId w:val="28"/>
  </w:num>
  <w:num w:numId="33">
    <w:abstractNumId w:val="6"/>
  </w:num>
  <w:num w:numId="34">
    <w:abstractNumId w:val="0"/>
  </w:num>
  <w:num w:numId="35">
    <w:abstractNumId w:val="33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35540"/>
    <w:rsid w:val="00037346"/>
    <w:rsid w:val="000858A6"/>
    <w:rsid w:val="000B1163"/>
    <w:rsid w:val="000B3C91"/>
    <w:rsid w:val="000C48E0"/>
    <w:rsid w:val="000D4400"/>
    <w:rsid w:val="000E0748"/>
    <w:rsid w:val="000E632B"/>
    <w:rsid w:val="000F4051"/>
    <w:rsid w:val="000F6932"/>
    <w:rsid w:val="00102693"/>
    <w:rsid w:val="00112278"/>
    <w:rsid w:val="00117F38"/>
    <w:rsid w:val="00126152"/>
    <w:rsid w:val="00195BC0"/>
    <w:rsid w:val="00197C22"/>
    <w:rsid w:val="001B353B"/>
    <w:rsid w:val="001B3E64"/>
    <w:rsid w:val="001C78C4"/>
    <w:rsid w:val="001C7FE6"/>
    <w:rsid w:val="001E6F6B"/>
    <w:rsid w:val="00210698"/>
    <w:rsid w:val="00252282"/>
    <w:rsid w:val="00270E4A"/>
    <w:rsid w:val="00277459"/>
    <w:rsid w:val="00291D2E"/>
    <w:rsid w:val="002A1F59"/>
    <w:rsid w:val="002D19F8"/>
    <w:rsid w:val="002E15BC"/>
    <w:rsid w:val="002E19AD"/>
    <w:rsid w:val="002F2AA7"/>
    <w:rsid w:val="003013AB"/>
    <w:rsid w:val="00310B7A"/>
    <w:rsid w:val="00382106"/>
    <w:rsid w:val="003948C2"/>
    <w:rsid w:val="003A5610"/>
    <w:rsid w:val="003A7EB4"/>
    <w:rsid w:val="003B7217"/>
    <w:rsid w:val="003F1BA2"/>
    <w:rsid w:val="004177F4"/>
    <w:rsid w:val="0045748B"/>
    <w:rsid w:val="00467C55"/>
    <w:rsid w:val="004A2D80"/>
    <w:rsid w:val="004A3165"/>
    <w:rsid w:val="004B0709"/>
    <w:rsid w:val="004B3B1F"/>
    <w:rsid w:val="004C0959"/>
    <w:rsid w:val="004C2FBC"/>
    <w:rsid w:val="004E2807"/>
    <w:rsid w:val="004E7A8E"/>
    <w:rsid w:val="00501931"/>
    <w:rsid w:val="005032C7"/>
    <w:rsid w:val="00534592"/>
    <w:rsid w:val="00585C05"/>
    <w:rsid w:val="005E4BBA"/>
    <w:rsid w:val="005F2815"/>
    <w:rsid w:val="005F694B"/>
    <w:rsid w:val="006052E0"/>
    <w:rsid w:val="006143C3"/>
    <w:rsid w:val="0063150A"/>
    <w:rsid w:val="00633A94"/>
    <w:rsid w:val="006368F9"/>
    <w:rsid w:val="00642D29"/>
    <w:rsid w:val="00677D0D"/>
    <w:rsid w:val="006975CA"/>
    <w:rsid w:val="006B5C40"/>
    <w:rsid w:val="006C00D0"/>
    <w:rsid w:val="006C68B7"/>
    <w:rsid w:val="006D121F"/>
    <w:rsid w:val="006F0F76"/>
    <w:rsid w:val="007027AE"/>
    <w:rsid w:val="00703604"/>
    <w:rsid w:val="007045E2"/>
    <w:rsid w:val="007179A6"/>
    <w:rsid w:val="007223D4"/>
    <w:rsid w:val="00722DD8"/>
    <w:rsid w:val="00723D34"/>
    <w:rsid w:val="00743385"/>
    <w:rsid w:val="00756C87"/>
    <w:rsid w:val="00761FAD"/>
    <w:rsid w:val="00766380"/>
    <w:rsid w:val="00771C2D"/>
    <w:rsid w:val="00772C5B"/>
    <w:rsid w:val="00793AC4"/>
    <w:rsid w:val="00793F2B"/>
    <w:rsid w:val="007942C2"/>
    <w:rsid w:val="007A7798"/>
    <w:rsid w:val="007B04B3"/>
    <w:rsid w:val="007B25C5"/>
    <w:rsid w:val="007C3229"/>
    <w:rsid w:val="007D3987"/>
    <w:rsid w:val="007F4561"/>
    <w:rsid w:val="008018D4"/>
    <w:rsid w:val="008179C7"/>
    <w:rsid w:val="00821FDD"/>
    <w:rsid w:val="00825DC2"/>
    <w:rsid w:val="008305CD"/>
    <w:rsid w:val="00843609"/>
    <w:rsid w:val="008525E9"/>
    <w:rsid w:val="00865CEE"/>
    <w:rsid w:val="008806DF"/>
    <w:rsid w:val="008B6773"/>
    <w:rsid w:val="008D0FD4"/>
    <w:rsid w:val="008D2F29"/>
    <w:rsid w:val="008F33BB"/>
    <w:rsid w:val="00902734"/>
    <w:rsid w:val="00926598"/>
    <w:rsid w:val="00936CC2"/>
    <w:rsid w:val="009469C0"/>
    <w:rsid w:val="0097202E"/>
    <w:rsid w:val="009A5CE2"/>
    <w:rsid w:val="009A605C"/>
    <w:rsid w:val="009C2684"/>
    <w:rsid w:val="009C4683"/>
    <w:rsid w:val="009E7E67"/>
    <w:rsid w:val="00A0008F"/>
    <w:rsid w:val="00A07FA8"/>
    <w:rsid w:val="00A31557"/>
    <w:rsid w:val="00A34621"/>
    <w:rsid w:val="00A70BD7"/>
    <w:rsid w:val="00A71CBB"/>
    <w:rsid w:val="00A76C18"/>
    <w:rsid w:val="00A81CCE"/>
    <w:rsid w:val="00A9265A"/>
    <w:rsid w:val="00AB42FA"/>
    <w:rsid w:val="00AE4CB0"/>
    <w:rsid w:val="00AF3228"/>
    <w:rsid w:val="00B0473B"/>
    <w:rsid w:val="00B13D49"/>
    <w:rsid w:val="00B177FB"/>
    <w:rsid w:val="00B37CB3"/>
    <w:rsid w:val="00B4312E"/>
    <w:rsid w:val="00B57779"/>
    <w:rsid w:val="00B6121B"/>
    <w:rsid w:val="00BA083B"/>
    <w:rsid w:val="00BB4110"/>
    <w:rsid w:val="00BE0C79"/>
    <w:rsid w:val="00C11A9B"/>
    <w:rsid w:val="00C27CC2"/>
    <w:rsid w:val="00C30DD2"/>
    <w:rsid w:val="00C3189B"/>
    <w:rsid w:val="00C435D9"/>
    <w:rsid w:val="00C46D4B"/>
    <w:rsid w:val="00C53FCB"/>
    <w:rsid w:val="00C81755"/>
    <w:rsid w:val="00CA57CD"/>
    <w:rsid w:val="00CD0C9D"/>
    <w:rsid w:val="00CD4E0F"/>
    <w:rsid w:val="00CE7859"/>
    <w:rsid w:val="00D007B4"/>
    <w:rsid w:val="00D02578"/>
    <w:rsid w:val="00D05848"/>
    <w:rsid w:val="00D05F23"/>
    <w:rsid w:val="00D07BAC"/>
    <w:rsid w:val="00D21B93"/>
    <w:rsid w:val="00D278C7"/>
    <w:rsid w:val="00D31E21"/>
    <w:rsid w:val="00D350C1"/>
    <w:rsid w:val="00D464DD"/>
    <w:rsid w:val="00D54C42"/>
    <w:rsid w:val="00D64DCE"/>
    <w:rsid w:val="00D83431"/>
    <w:rsid w:val="00D87890"/>
    <w:rsid w:val="00DB4226"/>
    <w:rsid w:val="00DD5C92"/>
    <w:rsid w:val="00DE51B4"/>
    <w:rsid w:val="00DE5FF5"/>
    <w:rsid w:val="00DF6A8C"/>
    <w:rsid w:val="00DF759A"/>
    <w:rsid w:val="00E1100C"/>
    <w:rsid w:val="00E26183"/>
    <w:rsid w:val="00E36F82"/>
    <w:rsid w:val="00E400BC"/>
    <w:rsid w:val="00E510E9"/>
    <w:rsid w:val="00E85180"/>
    <w:rsid w:val="00E87FB9"/>
    <w:rsid w:val="00EB6836"/>
    <w:rsid w:val="00ED2AA5"/>
    <w:rsid w:val="00EE3D75"/>
    <w:rsid w:val="00EE6B03"/>
    <w:rsid w:val="00F14B11"/>
    <w:rsid w:val="00F210CE"/>
    <w:rsid w:val="00F3291E"/>
    <w:rsid w:val="00F452FF"/>
    <w:rsid w:val="00F46973"/>
    <w:rsid w:val="00F620EB"/>
    <w:rsid w:val="00F65660"/>
    <w:rsid w:val="00F775CD"/>
    <w:rsid w:val="00F8793D"/>
    <w:rsid w:val="00F906EF"/>
    <w:rsid w:val="00F91C03"/>
    <w:rsid w:val="00FA08A2"/>
    <w:rsid w:val="00FD153D"/>
    <w:rsid w:val="00FE15FE"/>
    <w:rsid w:val="00FF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2693"/>
  </w:style>
  <w:style w:type="paragraph" w:styleId="1">
    <w:name w:val="heading 1"/>
    <w:basedOn w:val="a0"/>
    <w:next w:val="a0"/>
    <w:link w:val="10"/>
    <w:qFormat/>
    <w:rsid w:val="004E28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4E280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5">
    <w:name w:val="heading 5"/>
    <w:basedOn w:val="a0"/>
    <w:next w:val="a0"/>
    <w:link w:val="50"/>
    <w:qFormat/>
    <w:rsid w:val="004E2807"/>
    <w:pPr>
      <w:keepNext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0"/>
    <w:next w:val="a0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4E2807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0"/>
    <w:next w:val="a0"/>
    <w:link w:val="80"/>
    <w:qFormat/>
    <w:rsid w:val="004E280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1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4">
    <w:name w:val="Без интервала Знак"/>
    <w:aliases w:val="ПФ-таб.текст Знак,No Spacing Знак"/>
    <w:link w:val="a5"/>
    <w:uiPriority w:val="1"/>
    <w:locked/>
    <w:rsid w:val="00B6121B"/>
  </w:style>
  <w:style w:type="paragraph" w:styleId="a5">
    <w:name w:val="No Spacing"/>
    <w:aliases w:val="ПФ-таб.текст,No Spacing"/>
    <w:link w:val="a4"/>
    <w:uiPriority w:val="1"/>
    <w:qFormat/>
    <w:rsid w:val="00B6121B"/>
    <w:pPr>
      <w:spacing w:after="0" w:line="240" w:lineRule="auto"/>
    </w:pPr>
  </w:style>
  <w:style w:type="paragraph" w:styleId="a6">
    <w:name w:val="Balloon Text"/>
    <w:basedOn w:val="a0"/>
    <w:link w:val="a7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1"/>
    <w:link w:val="a8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0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character" w:styleId="ab">
    <w:name w:val="Hyperlink"/>
    <w:rsid w:val="00772C5B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4E280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1"/>
    <w:link w:val="3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1"/>
    <w:link w:val="5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4E280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1"/>
    <w:link w:val="8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caption"/>
    <w:basedOn w:val="a0"/>
    <w:qFormat/>
    <w:rsid w:val="004E2807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d">
    <w:name w:val="Body Text Indent"/>
    <w:basedOn w:val="a0"/>
    <w:link w:val="ae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4E28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2">
    <w:name w:val="Основной текст с отступом 2 Знак"/>
    <w:basedOn w:val="a1"/>
    <w:link w:val="21"/>
    <w:rsid w:val="004E2807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3">
    <w:name w:val="Body Text 2"/>
    <w:basedOn w:val="a0"/>
    <w:link w:val="24"/>
    <w:rsid w:val="004E28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1"/>
    <w:link w:val="2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0"/>
    <w:link w:val="32"/>
    <w:rsid w:val="004E2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4"/>
    <w:rsid w:val="004E280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header"/>
    <w:basedOn w:val="a0"/>
    <w:link w:val="af0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4E2807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basedOn w:val="a1"/>
    <w:rsid w:val="004E2807"/>
  </w:style>
  <w:style w:type="paragraph" w:styleId="af2">
    <w:name w:val="Title"/>
    <w:basedOn w:val="a0"/>
    <w:link w:val="af3"/>
    <w:qFormat/>
    <w:rsid w:val="004E28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Название Знак"/>
    <w:basedOn w:val="a1"/>
    <w:link w:val="af2"/>
    <w:rsid w:val="004E2807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footer"/>
    <w:basedOn w:val="a0"/>
    <w:link w:val="af5"/>
    <w:rsid w:val="004E28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1"/>
    <w:link w:val="af4"/>
    <w:rsid w:val="004E2807"/>
    <w:rPr>
      <w:rFonts w:ascii="Times New Roman" w:eastAsia="Times New Roman" w:hAnsi="Times New Roman" w:cs="Times New Roman"/>
      <w:sz w:val="20"/>
      <w:szCs w:val="20"/>
    </w:rPr>
  </w:style>
  <w:style w:type="table" w:styleId="af6">
    <w:name w:val="Table Grid"/>
    <w:basedOn w:val="a2"/>
    <w:uiPriority w:val="59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0"/>
    <w:rsid w:val="004E280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Знак1"/>
    <w:basedOn w:val="a0"/>
    <w:rsid w:val="004E28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f8">
    <w:name w:val="Normal (Web)"/>
    <w:basedOn w:val="a0"/>
    <w:rsid w:val="004E2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qFormat/>
    <w:rsid w:val="004E2807"/>
    <w:rPr>
      <w:b/>
      <w:bCs/>
    </w:rPr>
  </w:style>
  <w:style w:type="paragraph" w:customStyle="1" w:styleId="12">
    <w:name w:val="Знак1 Знак Знак Знак"/>
    <w:basedOn w:val="a0"/>
    <w:rsid w:val="004E28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"/>
    <w:basedOn w:val="a0"/>
    <w:rsid w:val="004E280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b">
    <w:name w:val="FollowedHyperlink"/>
    <w:rsid w:val="004E2807"/>
    <w:rPr>
      <w:color w:val="800080"/>
      <w:u w:val="single"/>
    </w:rPr>
  </w:style>
  <w:style w:type="paragraph" w:customStyle="1" w:styleId="Default">
    <w:name w:val="Default"/>
    <w:rsid w:val="004E2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">
    <w:name w:val="List Bullet"/>
    <w:basedOn w:val="a0"/>
    <w:rsid w:val="004E2807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4E2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Основной текст_"/>
    <w:basedOn w:val="a1"/>
    <w:link w:val="51"/>
    <w:locked/>
    <w:rsid w:val="00F210CE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0"/>
    <w:link w:val="afc"/>
    <w:rsid w:val="00F210CE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3">
    <w:name w:val="Основной текст1"/>
    <w:basedOn w:val="afc"/>
    <w:rsid w:val="00F210CE"/>
    <w:rPr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8653</Words>
  <Characters>49324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Q7</cp:lastModifiedBy>
  <cp:revision>5</cp:revision>
  <cp:lastPrinted>2021-06-29T06:58:00Z</cp:lastPrinted>
  <dcterms:created xsi:type="dcterms:W3CDTF">2021-07-28T08:25:00Z</dcterms:created>
  <dcterms:modified xsi:type="dcterms:W3CDTF">2021-07-28T09:22:00Z</dcterms:modified>
</cp:coreProperties>
</file>